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4DEA" w14:textId="77777777" w:rsidR="00E24855" w:rsidRDefault="00E24855">
      <w:pPr>
        <w:pStyle w:val="BodyText"/>
        <w:rPr>
          <w:rFonts w:ascii="Times New Roman"/>
        </w:rPr>
      </w:pPr>
    </w:p>
    <w:p w14:paraId="64F6EB30" w14:textId="77777777" w:rsidR="00E24855" w:rsidRDefault="00E24855">
      <w:pPr>
        <w:pStyle w:val="BodyText"/>
        <w:rPr>
          <w:rFonts w:ascii="Times New Roman"/>
        </w:rPr>
      </w:pPr>
    </w:p>
    <w:p w14:paraId="6FA980D4" w14:textId="77777777" w:rsidR="00E24855" w:rsidRDefault="00E24855">
      <w:pPr>
        <w:pStyle w:val="BodyText"/>
        <w:rPr>
          <w:rFonts w:ascii="Times New Roman"/>
        </w:rPr>
      </w:pPr>
    </w:p>
    <w:p w14:paraId="54C03089" w14:textId="77777777" w:rsidR="00E24855" w:rsidRDefault="00E24855">
      <w:pPr>
        <w:pStyle w:val="BodyText"/>
        <w:spacing w:before="2"/>
        <w:rPr>
          <w:rFonts w:ascii="Times New Roman"/>
          <w:sz w:val="28"/>
        </w:rPr>
      </w:pPr>
    </w:p>
    <w:p w14:paraId="6C12EAC8" w14:textId="77777777" w:rsidR="00E24855" w:rsidRDefault="002504AE">
      <w:pPr>
        <w:spacing w:before="100" w:line="290" w:lineRule="exact"/>
        <w:ind w:left="5804"/>
        <w:rPr>
          <w:sz w:val="24"/>
        </w:rPr>
      </w:pPr>
      <w:r>
        <w:rPr>
          <w:noProof/>
        </w:rPr>
        <w:drawing>
          <wp:anchor distT="0" distB="0" distL="0" distR="0" simplePos="0" relativeHeight="1168" behindDoc="0" locked="0" layoutInCell="1" allowOverlap="1" wp14:anchorId="6A234807" wp14:editId="668F204A">
            <wp:simplePos x="0" y="0"/>
            <wp:positionH relativeFrom="page">
              <wp:posOffset>851777</wp:posOffset>
            </wp:positionH>
            <wp:positionV relativeFrom="paragraph">
              <wp:posOffset>-640447</wp:posOffset>
            </wp:positionV>
            <wp:extent cx="2150711" cy="10551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50711" cy="1055192"/>
                    </a:xfrm>
                    <a:prstGeom prst="rect">
                      <a:avLst/>
                    </a:prstGeom>
                  </pic:spPr>
                </pic:pic>
              </a:graphicData>
            </a:graphic>
          </wp:anchor>
        </w:drawing>
      </w:r>
      <w:r>
        <w:rPr>
          <w:sz w:val="24"/>
        </w:rPr>
        <w:t>Township of Whitewater Region</w:t>
      </w:r>
    </w:p>
    <w:p w14:paraId="2CC5F3E4" w14:textId="77777777" w:rsidR="00E24855" w:rsidRDefault="002504AE" w:rsidP="002504AE">
      <w:pPr>
        <w:ind w:left="4268" w:right="173" w:hanging="15"/>
        <w:jc w:val="right"/>
        <w:rPr>
          <w:b/>
          <w:sz w:val="28"/>
        </w:rPr>
      </w:pPr>
      <w:r>
        <w:rPr>
          <w:b/>
          <w:sz w:val="28"/>
        </w:rPr>
        <w:t>Notice to Candidate of Filing Requirements and Penalties</w:t>
      </w:r>
    </w:p>
    <w:p w14:paraId="412A47C5" w14:textId="45B52243" w:rsidR="00E24855" w:rsidRDefault="002504AE" w:rsidP="002504AE">
      <w:pPr>
        <w:spacing w:before="12"/>
        <w:ind w:left="4253"/>
        <w:rPr>
          <w:i/>
          <w:sz w:val="20"/>
        </w:rPr>
      </w:pPr>
      <w:r>
        <w:rPr>
          <w:i/>
          <w:sz w:val="20"/>
        </w:rPr>
        <w:t>Municipal Elections Act, 1996 s.88.25, 88.23(2), 92(1)</w:t>
      </w:r>
    </w:p>
    <w:p w14:paraId="5D8F0365" w14:textId="4C8F28DD" w:rsidR="00E24855" w:rsidRPr="002504AE" w:rsidRDefault="002504AE" w:rsidP="002504AE">
      <w:pPr>
        <w:pBdr>
          <w:top w:val="single" w:sz="4" w:space="1" w:color="auto"/>
          <w:left w:val="single" w:sz="4" w:space="4" w:color="auto"/>
          <w:bottom w:val="single" w:sz="4" w:space="1" w:color="auto"/>
          <w:right w:val="single" w:sz="4" w:space="4" w:color="auto"/>
        </w:pBdr>
        <w:spacing w:before="118"/>
        <w:ind w:left="240" w:right="437"/>
        <w:rPr>
          <w:i/>
        </w:rPr>
      </w:pPr>
      <w:r w:rsidRPr="002504AE">
        <w:t>Take</w:t>
      </w:r>
      <w:r w:rsidRPr="002504AE">
        <w:rPr>
          <w:spacing w:val="-13"/>
        </w:rPr>
        <w:t xml:space="preserve"> </w:t>
      </w:r>
      <w:r w:rsidRPr="002504AE">
        <w:t>notice</w:t>
      </w:r>
      <w:r w:rsidRPr="002504AE">
        <w:rPr>
          <w:spacing w:val="-11"/>
        </w:rPr>
        <w:t xml:space="preserve"> </w:t>
      </w:r>
      <w:r w:rsidRPr="002504AE">
        <w:t>every</w:t>
      </w:r>
      <w:r w:rsidRPr="002504AE">
        <w:rPr>
          <w:spacing w:val="-10"/>
        </w:rPr>
        <w:t xml:space="preserve"> </w:t>
      </w:r>
      <w:r w:rsidRPr="002504AE">
        <w:t>candidate</w:t>
      </w:r>
      <w:r w:rsidRPr="002504AE">
        <w:rPr>
          <w:spacing w:val="-13"/>
        </w:rPr>
        <w:t xml:space="preserve"> </w:t>
      </w:r>
      <w:r w:rsidRPr="002504AE">
        <w:t>shall</w:t>
      </w:r>
      <w:r w:rsidRPr="002504AE">
        <w:rPr>
          <w:spacing w:val="-6"/>
        </w:rPr>
        <w:t xml:space="preserve"> </w:t>
      </w:r>
      <w:r w:rsidRPr="002504AE">
        <w:t>file</w:t>
      </w:r>
      <w:r w:rsidRPr="002504AE">
        <w:rPr>
          <w:spacing w:val="-14"/>
        </w:rPr>
        <w:t xml:space="preserve"> </w:t>
      </w:r>
      <w:r w:rsidRPr="002504AE">
        <w:t xml:space="preserve">by </w:t>
      </w:r>
      <w:r w:rsidRPr="002504AE">
        <w:rPr>
          <w:b/>
        </w:rPr>
        <w:t xml:space="preserve">Friday, March </w:t>
      </w:r>
      <w:r w:rsidR="00B77BA1">
        <w:rPr>
          <w:b/>
        </w:rPr>
        <w:t>31</w:t>
      </w:r>
      <w:r w:rsidRPr="002504AE">
        <w:rPr>
          <w:b/>
        </w:rPr>
        <w:t>, 20</w:t>
      </w:r>
      <w:r w:rsidR="00B77BA1">
        <w:rPr>
          <w:b/>
        </w:rPr>
        <w:t>2</w:t>
      </w:r>
      <w:r w:rsidR="009C227A">
        <w:rPr>
          <w:b/>
        </w:rPr>
        <w:t>3</w:t>
      </w:r>
      <w:r w:rsidRPr="002504AE">
        <w:t>,</w:t>
      </w:r>
      <w:r w:rsidRPr="002504AE">
        <w:rPr>
          <w:spacing w:val="-13"/>
        </w:rPr>
        <w:t xml:space="preserve"> </w:t>
      </w:r>
      <w:r w:rsidRPr="002504AE">
        <w:t>with</w:t>
      </w:r>
      <w:r w:rsidRPr="002504AE">
        <w:rPr>
          <w:spacing w:val="-11"/>
        </w:rPr>
        <w:t xml:space="preserve"> </w:t>
      </w:r>
      <w:r w:rsidRPr="002504AE">
        <w:t>the</w:t>
      </w:r>
      <w:r w:rsidRPr="002504AE">
        <w:rPr>
          <w:spacing w:val="-8"/>
        </w:rPr>
        <w:t xml:space="preserve"> </w:t>
      </w:r>
      <w:r w:rsidRPr="002504AE">
        <w:t>Clerk</w:t>
      </w:r>
      <w:r w:rsidRPr="002504AE">
        <w:rPr>
          <w:spacing w:val="-13"/>
        </w:rPr>
        <w:t xml:space="preserve"> </w:t>
      </w:r>
      <w:r w:rsidRPr="002504AE">
        <w:t>with</w:t>
      </w:r>
      <w:r w:rsidRPr="002504AE">
        <w:rPr>
          <w:spacing w:val="-11"/>
        </w:rPr>
        <w:t xml:space="preserve"> </w:t>
      </w:r>
      <w:r w:rsidRPr="002504AE">
        <w:t>whom their</w:t>
      </w:r>
      <w:r w:rsidRPr="002504AE">
        <w:rPr>
          <w:spacing w:val="-12"/>
        </w:rPr>
        <w:t xml:space="preserve"> </w:t>
      </w:r>
      <w:r w:rsidRPr="002504AE">
        <w:t>nomination</w:t>
      </w:r>
      <w:r w:rsidRPr="002504AE">
        <w:rPr>
          <w:spacing w:val="-10"/>
        </w:rPr>
        <w:t xml:space="preserve"> </w:t>
      </w:r>
      <w:r w:rsidRPr="002504AE">
        <w:t>was</w:t>
      </w:r>
      <w:r w:rsidRPr="002504AE">
        <w:rPr>
          <w:spacing w:val="-12"/>
        </w:rPr>
        <w:t xml:space="preserve"> </w:t>
      </w:r>
      <w:r w:rsidRPr="002504AE">
        <w:rPr>
          <w:spacing w:val="2"/>
        </w:rPr>
        <w:t>filed</w:t>
      </w:r>
      <w:r w:rsidRPr="002504AE">
        <w:rPr>
          <w:spacing w:val="-11"/>
        </w:rPr>
        <w:t xml:space="preserve"> </w:t>
      </w:r>
      <w:r w:rsidRPr="002504AE">
        <w:t>a</w:t>
      </w:r>
      <w:r w:rsidRPr="002504AE">
        <w:rPr>
          <w:spacing w:val="-12"/>
        </w:rPr>
        <w:t xml:space="preserve"> </w:t>
      </w:r>
      <w:r w:rsidRPr="002504AE">
        <w:rPr>
          <w:spacing w:val="2"/>
        </w:rPr>
        <w:t>financial</w:t>
      </w:r>
      <w:r w:rsidRPr="002504AE">
        <w:rPr>
          <w:spacing w:val="-6"/>
        </w:rPr>
        <w:t xml:space="preserve"> </w:t>
      </w:r>
      <w:r w:rsidRPr="002504AE">
        <w:rPr>
          <w:spacing w:val="-4"/>
        </w:rPr>
        <w:t>statement</w:t>
      </w:r>
      <w:r w:rsidRPr="002504AE">
        <w:rPr>
          <w:spacing w:val="-13"/>
        </w:rPr>
        <w:t xml:space="preserve"> </w:t>
      </w:r>
      <w:r w:rsidRPr="002504AE">
        <w:t>in</w:t>
      </w:r>
      <w:r w:rsidRPr="002504AE">
        <w:rPr>
          <w:spacing w:val="59"/>
        </w:rPr>
        <w:t xml:space="preserve"> </w:t>
      </w:r>
      <w:r w:rsidRPr="002504AE">
        <w:t>accordance</w:t>
      </w:r>
      <w:r w:rsidRPr="002504AE">
        <w:rPr>
          <w:spacing w:val="-15"/>
        </w:rPr>
        <w:t xml:space="preserve"> </w:t>
      </w:r>
      <w:r w:rsidRPr="002504AE">
        <w:t>with</w:t>
      </w:r>
      <w:r w:rsidRPr="002504AE">
        <w:rPr>
          <w:spacing w:val="-10"/>
        </w:rPr>
        <w:t xml:space="preserve"> </w:t>
      </w:r>
      <w:r w:rsidRPr="002504AE">
        <w:t>88.25</w:t>
      </w:r>
      <w:r w:rsidRPr="002504AE">
        <w:rPr>
          <w:spacing w:val="-3"/>
        </w:rPr>
        <w:t xml:space="preserve"> </w:t>
      </w:r>
      <w:r w:rsidRPr="002504AE">
        <w:t>of</w:t>
      </w:r>
      <w:r w:rsidRPr="002504AE">
        <w:rPr>
          <w:spacing w:val="-9"/>
        </w:rPr>
        <w:t xml:space="preserve"> </w:t>
      </w:r>
      <w:r w:rsidRPr="002504AE">
        <w:t>the</w:t>
      </w:r>
      <w:r w:rsidRPr="002504AE">
        <w:rPr>
          <w:spacing w:val="-15"/>
        </w:rPr>
        <w:t xml:space="preserve"> </w:t>
      </w:r>
      <w:r w:rsidRPr="002504AE">
        <w:rPr>
          <w:i/>
        </w:rPr>
        <w:t xml:space="preserve">Municipal </w:t>
      </w:r>
      <w:r w:rsidRPr="002504AE">
        <w:rPr>
          <w:i/>
          <w:spacing w:val="2"/>
        </w:rPr>
        <w:t xml:space="preserve">Elections </w:t>
      </w:r>
      <w:r w:rsidRPr="002504AE">
        <w:rPr>
          <w:i/>
        </w:rPr>
        <w:t>Act,</w:t>
      </w:r>
      <w:r w:rsidRPr="002504AE">
        <w:rPr>
          <w:i/>
          <w:spacing w:val="-25"/>
        </w:rPr>
        <w:t xml:space="preserve"> </w:t>
      </w:r>
      <w:r w:rsidRPr="002504AE">
        <w:rPr>
          <w:i/>
        </w:rPr>
        <w:t>1996.</w:t>
      </w:r>
    </w:p>
    <w:p w14:paraId="5282231D" w14:textId="77777777" w:rsidR="00E24855" w:rsidRDefault="00E24855">
      <w:pPr>
        <w:pStyle w:val="BodyText"/>
        <w:rPr>
          <w:i/>
        </w:rPr>
      </w:pPr>
    </w:p>
    <w:p w14:paraId="5D235AA6" w14:textId="77777777" w:rsidR="002504AE" w:rsidRPr="002504AE" w:rsidRDefault="002504AE" w:rsidP="002504AE">
      <w:pPr>
        <w:tabs>
          <w:tab w:val="left" w:pos="959"/>
          <w:tab w:val="left" w:pos="960"/>
        </w:tabs>
        <w:ind w:right="442"/>
        <w:rPr>
          <w:sz w:val="20"/>
        </w:rPr>
      </w:pPr>
      <w:r w:rsidRPr="002504AE">
        <w:rPr>
          <w:sz w:val="20"/>
        </w:rPr>
        <w:t>Candidates’ financial statements, etc.</w:t>
      </w:r>
    </w:p>
    <w:p w14:paraId="391F6F9B" w14:textId="52CBDC43" w:rsidR="002504AE" w:rsidRPr="002504AE" w:rsidRDefault="002504AE" w:rsidP="002504AE">
      <w:pPr>
        <w:tabs>
          <w:tab w:val="left" w:pos="959"/>
          <w:tab w:val="left" w:pos="960"/>
        </w:tabs>
        <w:ind w:right="442"/>
        <w:rPr>
          <w:sz w:val="20"/>
        </w:rPr>
      </w:pPr>
      <w:r w:rsidRPr="002504AE">
        <w:rPr>
          <w:sz w:val="20"/>
        </w:rPr>
        <w:t>88.25 (1) On or before 2 p.m. on the filing date, a candidate shall file with the clerk with whom the nomination was filed a financial statement and auditor’s report, each in the prescribed form, reflecting the candidate’s election campaign finances,</w:t>
      </w:r>
      <w:r>
        <w:rPr>
          <w:sz w:val="20"/>
        </w:rPr>
        <w:t xml:space="preserve"> </w:t>
      </w:r>
      <w:r w:rsidRPr="002504AE">
        <w:rPr>
          <w:sz w:val="20"/>
        </w:rPr>
        <w:t>in the case of a regular election, as of December 31 in the year of the election</w:t>
      </w:r>
      <w:r>
        <w:rPr>
          <w:sz w:val="20"/>
        </w:rPr>
        <w:t>.</w:t>
      </w:r>
    </w:p>
    <w:p w14:paraId="579B3603" w14:textId="77777777" w:rsidR="002504AE" w:rsidRPr="002504AE" w:rsidRDefault="002504AE" w:rsidP="002504AE">
      <w:pPr>
        <w:tabs>
          <w:tab w:val="left" w:pos="959"/>
          <w:tab w:val="left" w:pos="960"/>
        </w:tabs>
        <w:ind w:right="442"/>
        <w:rPr>
          <w:sz w:val="20"/>
        </w:rPr>
      </w:pPr>
    </w:p>
    <w:p w14:paraId="787405FA" w14:textId="77777777" w:rsidR="002504AE" w:rsidRPr="002504AE" w:rsidRDefault="002504AE" w:rsidP="002504AE">
      <w:pPr>
        <w:tabs>
          <w:tab w:val="left" w:pos="959"/>
          <w:tab w:val="left" w:pos="960"/>
        </w:tabs>
        <w:ind w:right="442"/>
        <w:rPr>
          <w:sz w:val="20"/>
        </w:rPr>
      </w:pPr>
      <w:r w:rsidRPr="002504AE">
        <w:rPr>
          <w:sz w:val="20"/>
        </w:rPr>
        <w:t>Same</w:t>
      </w:r>
    </w:p>
    <w:p w14:paraId="16162F73" w14:textId="77777777" w:rsidR="002504AE" w:rsidRPr="002504AE" w:rsidRDefault="002504AE" w:rsidP="002504AE">
      <w:pPr>
        <w:tabs>
          <w:tab w:val="left" w:pos="959"/>
          <w:tab w:val="left" w:pos="960"/>
        </w:tabs>
        <w:ind w:right="442"/>
        <w:rPr>
          <w:sz w:val="20"/>
        </w:rPr>
      </w:pPr>
      <w:r w:rsidRPr="002504AE">
        <w:rPr>
          <w:sz w:val="20"/>
        </w:rPr>
        <w:t>(2) If a candidate’s election campaign period ends as described in paragraph 3 of subsection 88.24 (1), the financial statement and auditor’s report must reflect the candidate’s election campaign finances as of the day the election campaign period ended. 2016, c. 15, s. 60.</w:t>
      </w:r>
    </w:p>
    <w:p w14:paraId="6C270A58" w14:textId="77777777" w:rsidR="002504AE" w:rsidRPr="002504AE" w:rsidRDefault="002504AE" w:rsidP="002504AE">
      <w:pPr>
        <w:tabs>
          <w:tab w:val="left" w:pos="959"/>
          <w:tab w:val="left" w:pos="960"/>
        </w:tabs>
        <w:ind w:right="442"/>
        <w:rPr>
          <w:sz w:val="20"/>
        </w:rPr>
      </w:pPr>
    </w:p>
    <w:p w14:paraId="30C4BB52" w14:textId="77777777" w:rsidR="002504AE" w:rsidRPr="002504AE" w:rsidRDefault="002504AE" w:rsidP="002504AE">
      <w:pPr>
        <w:tabs>
          <w:tab w:val="left" w:pos="959"/>
          <w:tab w:val="left" w:pos="960"/>
        </w:tabs>
        <w:ind w:right="442"/>
        <w:rPr>
          <w:sz w:val="20"/>
        </w:rPr>
      </w:pPr>
      <w:r w:rsidRPr="002504AE">
        <w:rPr>
          <w:sz w:val="20"/>
        </w:rPr>
        <w:t>Error in financial statement</w:t>
      </w:r>
    </w:p>
    <w:p w14:paraId="0652FB41" w14:textId="77777777" w:rsidR="002504AE" w:rsidRPr="002504AE" w:rsidRDefault="002504AE" w:rsidP="002504AE">
      <w:pPr>
        <w:tabs>
          <w:tab w:val="left" w:pos="959"/>
          <w:tab w:val="left" w:pos="960"/>
        </w:tabs>
        <w:ind w:right="442"/>
        <w:rPr>
          <w:sz w:val="20"/>
        </w:rPr>
      </w:pPr>
      <w:r w:rsidRPr="002504AE">
        <w:rPr>
          <w:sz w:val="20"/>
        </w:rPr>
        <w:t>(3) If an error is identified in a filed financial statement, the candidate may withdraw the statement and, at the same time, file a corrected financial statement and auditor’s report on or before the applicable filing date under section 88.30. 2016, c. 15, s. 60.</w:t>
      </w:r>
    </w:p>
    <w:p w14:paraId="387DA483" w14:textId="77777777" w:rsidR="002504AE" w:rsidRPr="002504AE" w:rsidRDefault="002504AE" w:rsidP="002504AE">
      <w:pPr>
        <w:tabs>
          <w:tab w:val="left" w:pos="959"/>
          <w:tab w:val="left" w:pos="960"/>
        </w:tabs>
        <w:ind w:right="442"/>
        <w:rPr>
          <w:sz w:val="20"/>
        </w:rPr>
      </w:pPr>
    </w:p>
    <w:p w14:paraId="471CFC66" w14:textId="77777777" w:rsidR="002504AE" w:rsidRPr="002504AE" w:rsidRDefault="002504AE" w:rsidP="002504AE">
      <w:pPr>
        <w:tabs>
          <w:tab w:val="left" w:pos="959"/>
          <w:tab w:val="left" w:pos="960"/>
        </w:tabs>
        <w:ind w:right="442"/>
        <w:rPr>
          <w:sz w:val="20"/>
        </w:rPr>
      </w:pPr>
      <w:r w:rsidRPr="002504AE">
        <w:rPr>
          <w:sz w:val="20"/>
        </w:rPr>
        <w:t>Supplementary financial statement and auditor’s report</w:t>
      </w:r>
    </w:p>
    <w:p w14:paraId="3E0BA17B" w14:textId="77777777" w:rsidR="002504AE" w:rsidRPr="002504AE" w:rsidRDefault="002504AE" w:rsidP="002504AE">
      <w:pPr>
        <w:tabs>
          <w:tab w:val="left" w:pos="959"/>
          <w:tab w:val="left" w:pos="960"/>
        </w:tabs>
        <w:ind w:right="442"/>
        <w:rPr>
          <w:sz w:val="20"/>
        </w:rPr>
      </w:pPr>
      <w:r w:rsidRPr="002504AE">
        <w:rPr>
          <w:sz w:val="20"/>
        </w:rPr>
        <w:t>(4) If the candidate’s election campaign period continues during all or part of the supplementary reporting period, the candidate shall, before 2 p.m. on the supplementary filing date, file a supplementary financial statement and auditor’s report for the supplementary reporting period. 2016, c. 15, s. 60.</w:t>
      </w:r>
    </w:p>
    <w:p w14:paraId="5F3ED003" w14:textId="77777777" w:rsidR="002504AE" w:rsidRPr="002504AE" w:rsidRDefault="002504AE" w:rsidP="002504AE">
      <w:pPr>
        <w:tabs>
          <w:tab w:val="left" w:pos="959"/>
          <w:tab w:val="left" w:pos="960"/>
        </w:tabs>
        <w:ind w:right="442"/>
        <w:rPr>
          <w:sz w:val="20"/>
        </w:rPr>
      </w:pPr>
    </w:p>
    <w:p w14:paraId="07BEE540" w14:textId="77777777" w:rsidR="002504AE" w:rsidRPr="002504AE" w:rsidRDefault="002504AE" w:rsidP="002504AE">
      <w:pPr>
        <w:tabs>
          <w:tab w:val="left" w:pos="959"/>
          <w:tab w:val="left" w:pos="960"/>
        </w:tabs>
        <w:ind w:right="442"/>
        <w:rPr>
          <w:sz w:val="20"/>
        </w:rPr>
      </w:pPr>
      <w:r w:rsidRPr="002504AE">
        <w:rPr>
          <w:sz w:val="20"/>
        </w:rPr>
        <w:t>Same</w:t>
      </w:r>
    </w:p>
    <w:p w14:paraId="416D79C7" w14:textId="77777777" w:rsidR="002504AE" w:rsidRPr="002504AE" w:rsidRDefault="002504AE" w:rsidP="002504AE">
      <w:pPr>
        <w:tabs>
          <w:tab w:val="left" w:pos="959"/>
          <w:tab w:val="left" w:pos="960"/>
        </w:tabs>
        <w:ind w:right="442"/>
        <w:rPr>
          <w:sz w:val="20"/>
        </w:rPr>
      </w:pPr>
      <w:r w:rsidRPr="002504AE">
        <w:rPr>
          <w:sz w:val="20"/>
        </w:rPr>
        <w:t>(5) If a candidate’s election campaign period ends as described in paragraph 3 of subsection 88.24 (1) and the election campaign period continued during all or part of the supplementary reporting period, the candidate shall, before 2 p.m. on the supplementary filing date, file a supplementary financial statement and auditor’s report for the period commencing on the day the candidate’s election campaign period ends and including the six-month period following the year of the election. 2016, c. 15, s. 60.</w:t>
      </w:r>
    </w:p>
    <w:p w14:paraId="1FE5A39B" w14:textId="77777777" w:rsidR="002504AE" w:rsidRPr="002504AE" w:rsidRDefault="002504AE" w:rsidP="002504AE">
      <w:pPr>
        <w:tabs>
          <w:tab w:val="left" w:pos="959"/>
          <w:tab w:val="left" w:pos="960"/>
        </w:tabs>
        <w:ind w:right="442"/>
        <w:rPr>
          <w:sz w:val="20"/>
        </w:rPr>
      </w:pPr>
    </w:p>
    <w:p w14:paraId="47C242C1" w14:textId="77777777" w:rsidR="002504AE" w:rsidRPr="002504AE" w:rsidRDefault="002504AE" w:rsidP="002504AE">
      <w:pPr>
        <w:tabs>
          <w:tab w:val="left" w:pos="959"/>
          <w:tab w:val="left" w:pos="960"/>
        </w:tabs>
        <w:ind w:right="442"/>
        <w:rPr>
          <w:sz w:val="20"/>
        </w:rPr>
      </w:pPr>
      <w:r w:rsidRPr="002504AE">
        <w:rPr>
          <w:sz w:val="20"/>
        </w:rPr>
        <w:t>Supplementary report</w:t>
      </w:r>
    </w:p>
    <w:p w14:paraId="0287D0F7" w14:textId="77777777" w:rsidR="002504AE" w:rsidRPr="002504AE" w:rsidRDefault="002504AE" w:rsidP="002504AE">
      <w:pPr>
        <w:tabs>
          <w:tab w:val="left" w:pos="959"/>
          <w:tab w:val="left" w:pos="960"/>
        </w:tabs>
        <w:ind w:right="442"/>
        <w:rPr>
          <w:sz w:val="20"/>
        </w:rPr>
      </w:pPr>
      <w:r w:rsidRPr="002504AE">
        <w:rPr>
          <w:sz w:val="20"/>
        </w:rPr>
        <w:t>(6) A supplementary financial statement or auditor’s report shall include all the information contained in the initial statement or report filed under subsection (1), updated to reflect the changes to the candidate’s campaign finances during the supplementary reporting period. 2016, c. 15, s. 60.</w:t>
      </w:r>
    </w:p>
    <w:p w14:paraId="2F6847F5" w14:textId="77777777" w:rsidR="002504AE" w:rsidRPr="002504AE" w:rsidRDefault="002504AE" w:rsidP="002504AE">
      <w:pPr>
        <w:tabs>
          <w:tab w:val="left" w:pos="959"/>
          <w:tab w:val="left" w:pos="960"/>
        </w:tabs>
        <w:ind w:right="442"/>
        <w:rPr>
          <w:sz w:val="20"/>
        </w:rPr>
      </w:pPr>
    </w:p>
    <w:p w14:paraId="4E9D4CA2" w14:textId="77777777" w:rsidR="002504AE" w:rsidRPr="002504AE" w:rsidRDefault="002504AE" w:rsidP="002504AE">
      <w:pPr>
        <w:tabs>
          <w:tab w:val="left" w:pos="959"/>
          <w:tab w:val="left" w:pos="960"/>
        </w:tabs>
        <w:ind w:right="442"/>
        <w:rPr>
          <w:sz w:val="20"/>
        </w:rPr>
      </w:pPr>
      <w:r w:rsidRPr="002504AE">
        <w:rPr>
          <w:sz w:val="20"/>
        </w:rPr>
        <w:t>Auditor</w:t>
      </w:r>
    </w:p>
    <w:p w14:paraId="0391D067" w14:textId="77777777" w:rsidR="002504AE" w:rsidRPr="002504AE" w:rsidRDefault="002504AE" w:rsidP="002504AE">
      <w:pPr>
        <w:tabs>
          <w:tab w:val="left" w:pos="959"/>
          <w:tab w:val="left" w:pos="960"/>
        </w:tabs>
        <w:ind w:right="442"/>
        <w:rPr>
          <w:sz w:val="20"/>
        </w:rPr>
      </w:pPr>
      <w:r w:rsidRPr="002504AE">
        <w:rPr>
          <w:sz w:val="20"/>
        </w:rPr>
        <w:t>(7) An auditor’s report shall be prepared by an auditor licensed under the Public Accounting Act, 2004. 2016, c. 15, s. 60.</w:t>
      </w:r>
    </w:p>
    <w:p w14:paraId="0BF4A1F7" w14:textId="77777777" w:rsidR="002504AE" w:rsidRPr="002504AE" w:rsidRDefault="002504AE" w:rsidP="002504AE">
      <w:pPr>
        <w:tabs>
          <w:tab w:val="left" w:pos="959"/>
          <w:tab w:val="left" w:pos="960"/>
        </w:tabs>
        <w:ind w:right="442"/>
        <w:rPr>
          <w:sz w:val="20"/>
        </w:rPr>
      </w:pPr>
    </w:p>
    <w:p w14:paraId="42F62A17" w14:textId="77777777" w:rsidR="002504AE" w:rsidRPr="002504AE" w:rsidRDefault="002504AE" w:rsidP="002504AE">
      <w:pPr>
        <w:tabs>
          <w:tab w:val="left" w:pos="959"/>
          <w:tab w:val="left" w:pos="960"/>
        </w:tabs>
        <w:ind w:right="442"/>
        <w:rPr>
          <w:sz w:val="20"/>
        </w:rPr>
      </w:pPr>
      <w:r w:rsidRPr="002504AE">
        <w:rPr>
          <w:sz w:val="20"/>
        </w:rPr>
        <w:t>Exception re auditor’s report</w:t>
      </w:r>
    </w:p>
    <w:p w14:paraId="67A64673" w14:textId="78B99862" w:rsidR="00E24855" w:rsidRPr="002504AE" w:rsidRDefault="002504AE" w:rsidP="002504AE">
      <w:pPr>
        <w:tabs>
          <w:tab w:val="left" w:pos="959"/>
          <w:tab w:val="left" w:pos="960"/>
        </w:tabs>
        <w:ind w:right="442"/>
        <w:rPr>
          <w:sz w:val="20"/>
        </w:rPr>
      </w:pPr>
      <w:r w:rsidRPr="002504AE">
        <w:rPr>
          <w:sz w:val="20"/>
        </w:rPr>
        <w:t>(8) No auditor’s report is required if the total contributions received and total expenses incurred in the election campaign up to the end of the relevant period are each equal to or less than $10,000. 2016, c. 15, s. 60.</w:t>
      </w:r>
    </w:p>
    <w:p w14:paraId="70E990A7" w14:textId="77777777" w:rsidR="00E24855" w:rsidRDefault="00E24855">
      <w:pPr>
        <w:pStyle w:val="BodyText"/>
        <w:spacing w:before="11"/>
        <w:rPr>
          <w:sz w:val="19"/>
        </w:rPr>
      </w:pPr>
    </w:p>
    <w:p w14:paraId="70D93845" w14:textId="34870613" w:rsidR="002504AE" w:rsidRDefault="002504AE" w:rsidP="002504AE">
      <w:pPr>
        <w:pStyle w:val="Heading2"/>
        <w:ind w:left="119"/>
        <w:jc w:val="right"/>
      </w:pPr>
      <w:r>
        <w:t>Next Page</w:t>
      </w:r>
    </w:p>
    <w:p w14:paraId="4B5F3F91" w14:textId="12D12C4E" w:rsidR="00E24855" w:rsidRDefault="002504AE" w:rsidP="002504AE">
      <w:pPr>
        <w:pStyle w:val="Heading2"/>
      </w:pPr>
      <w:r>
        <w:lastRenderedPageBreak/>
        <w:t>Notice is also hereby given of penalties:</w:t>
      </w:r>
    </w:p>
    <w:p w14:paraId="7DB962E6" w14:textId="77777777" w:rsidR="002504AE" w:rsidRDefault="002504AE" w:rsidP="002504AE">
      <w:pPr>
        <w:pStyle w:val="BodyText"/>
        <w:spacing w:before="1"/>
      </w:pPr>
    </w:p>
    <w:p w14:paraId="372661B5" w14:textId="5FBD56D7" w:rsidR="002504AE" w:rsidRDefault="002504AE" w:rsidP="002504AE">
      <w:pPr>
        <w:pStyle w:val="BodyText"/>
        <w:spacing w:before="1"/>
      </w:pPr>
      <w:r>
        <w:t>Effect of default by candidate</w:t>
      </w:r>
    </w:p>
    <w:p w14:paraId="567F3A57" w14:textId="77777777" w:rsidR="002504AE" w:rsidRDefault="002504AE" w:rsidP="002504AE">
      <w:pPr>
        <w:pStyle w:val="BodyText"/>
        <w:spacing w:before="1"/>
      </w:pPr>
      <w:r>
        <w:t>88.23 (1) A candidate is subject to the penalties listed in subsection (2), in addition to any other penalty that may be imposed under this Act,</w:t>
      </w:r>
    </w:p>
    <w:p w14:paraId="69EDF06C" w14:textId="77777777" w:rsidR="002504AE" w:rsidRDefault="002504AE" w:rsidP="002504AE">
      <w:pPr>
        <w:pStyle w:val="BodyText"/>
        <w:spacing w:before="1"/>
      </w:pPr>
    </w:p>
    <w:p w14:paraId="682D50C0" w14:textId="77777777" w:rsidR="002504AE" w:rsidRDefault="002504AE" w:rsidP="002504AE">
      <w:pPr>
        <w:pStyle w:val="BodyText"/>
        <w:spacing w:before="1"/>
      </w:pPr>
      <w:r>
        <w:t>(a) if the candidate fails to file a document as required under section 88.25 or 88.32 by the relevant date;</w:t>
      </w:r>
    </w:p>
    <w:p w14:paraId="2D7FB6B5" w14:textId="77777777" w:rsidR="002504AE" w:rsidRDefault="002504AE" w:rsidP="002504AE">
      <w:pPr>
        <w:pStyle w:val="BodyText"/>
        <w:spacing w:before="1"/>
      </w:pPr>
    </w:p>
    <w:p w14:paraId="1791193F" w14:textId="77777777" w:rsidR="002504AE" w:rsidRDefault="002504AE" w:rsidP="002504AE">
      <w:pPr>
        <w:pStyle w:val="BodyText"/>
        <w:spacing w:before="1"/>
      </w:pPr>
      <w:r>
        <w:t>(b) if a document filed under section 88.25 shows on its face a surplus, as described in section 88.31, and the candidate fails to pay the amount required by subsection 88.31 (4) to the clerk by the relevant date;</w:t>
      </w:r>
    </w:p>
    <w:p w14:paraId="3482310C" w14:textId="77777777" w:rsidR="002504AE" w:rsidRDefault="002504AE" w:rsidP="002504AE">
      <w:pPr>
        <w:pStyle w:val="BodyText"/>
        <w:spacing w:before="1"/>
      </w:pPr>
    </w:p>
    <w:p w14:paraId="01A064D1" w14:textId="77777777" w:rsidR="002504AE" w:rsidRDefault="002504AE" w:rsidP="002504AE">
      <w:pPr>
        <w:pStyle w:val="BodyText"/>
        <w:spacing w:before="1"/>
      </w:pPr>
      <w:r>
        <w:t>(c) if a document filed under section 88.25 shows on its face that the candidate has incurred expenses exceeding what is permitted under section 88.20; or</w:t>
      </w:r>
    </w:p>
    <w:p w14:paraId="01485609" w14:textId="77777777" w:rsidR="002504AE" w:rsidRDefault="002504AE" w:rsidP="002504AE">
      <w:pPr>
        <w:pStyle w:val="BodyText"/>
        <w:spacing w:before="1"/>
      </w:pPr>
    </w:p>
    <w:p w14:paraId="4F193BE9" w14:textId="77777777" w:rsidR="002504AE" w:rsidRDefault="002504AE" w:rsidP="002504AE">
      <w:pPr>
        <w:pStyle w:val="BodyText"/>
        <w:spacing w:before="1"/>
      </w:pPr>
      <w:r>
        <w:t>(d) if a document filed under section 88.32 shows on its face a surplus and the candidate fails to pay the amount required by that section by the relevant date. 2016, c. 15, s. 60.</w:t>
      </w:r>
    </w:p>
    <w:p w14:paraId="161C382B" w14:textId="77777777" w:rsidR="002504AE" w:rsidRDefault="002504AE" w:rsidP="002504AE">
      <w:pPr>
        <w:pStyle w:val="BodyText"/>
        <w:spacing w:before="1"/>
      </w:pPr>
    </w:p>
    <w:p w14:paraId="53A37EAB" w14:textId="77777777" w:rsidR="002504AE" w:rsidRDefault="002504AE" w:rsidP="002504AE">
      <w:pPr>
        <w:pStyle w:val="BodyText"/>
        <w:spacing w:before="1"/>
      </w:pPr>
      <w:r>
        <w:t>Penalties</w:t>
      </w:r>
    </w:p>
    <w:p w14:paraId="423F570A" w14:textId="77777777" w:rsidR="002504AE" w:rsidRDefault="002504AE" w:rsidP="002504AE">
      <w:pPr>
        <w:pStyle w:val="BodyText"/>
        <w:spacing w:before="1"/>
      </w:pPr>
      <w:r>
        <w:t>(2) Subject to subsection (7), in the case of a default described in subsection (1),</w:t>
      </w:r>
    </w:p>
    <w:p w14:paraId="12FAEA36" w14:textId="77777777" w:rsidR="002504AE" w:rsidRDefault="002504AE" w:rsidP="002504AE">
      <w:pPr>
        <w:pStyle w:val="BodyText"/>
        <w:spacing w:before="1"/>
      </w:pPr>
    </w:p>
    <w:p w14:paraId="3EF7C959" w14:textId="77777777" w:rsidR="002504AE" w:rsidRDefault="002504AE" w:rsidP="002504AE">
      <w:pPr>
        <w:pStyle w:val="BodyText"/>
        <w:spacing w:before="1"/>
      </w:pPr>
      <w:r>
        <w:t>(a) the candidate forfeits any office to which he or she was elected and the office is deemed to be vacant; and</w:t>
      </w:r>
    </w:p>
    <w:p w14:paraId="42F429DB" w14:textId="77777777" w:rsidR="002504AE" w:rsidRDefault="002504AE" w:rsidP="002504AE">
      <w:pPr>
        <w:pStyle w:val="BodyText"/>
        <w:spacing w:before="1"/>
      </w:pPr>
    </w:p>
    <w:p w14:paraId="4E5D43FC" w14:textId="289396AB" w:rsidR="00E24855" w:rsidRDefault="002504AE" w:rsidP="002504AE">
      <w:pPr>
        <w:pStyle w:val="BodyText"/>
        <w:spacing w:before="1"/>
      </w:pPr>
      <w:r>
        <w:t>(b) until the next regular election has taken place, the candidate is ineligible to be elected or appointed to any office to which this Act applies. 2016, c. 15, s. 60.</w:t>
      </w:r>
    </w:p>
    <w:p w14:paraId="4107F783" w14:textId="38A3A7F2" w:rsidR="002504AE" w:rsidRDefault="002504AE" w:rsidP="002504AE">
      <w:pPr>
        <w:pStyle w:val="BodyText"/>
        <w:spacing w:before="1"/>
      </w:pPr>
    </w:p>
    <w:p w14:paraId="4BF97EDF" w14:textId="77777777" w:rsidR="002504AE" w:rsidRDefault="002504AE" w:rsidP="002504AE">
      <w:pPr>
        <w:pStyle w:val="BodyText"/>
        <w:spacing w:before="1"/>
      </w:pPr>
      <w:r>
        <w:t>Offences re campaign finances</w:t>
      </w:r>
    </w:p>
    <w:p w14:paraId="3D851724" w14:textId="77777777" w:rsidR="002504AE" w:rsidRDefault="002504AE" w:rsidP="002504AE">
      <w:pPr>
        <w:pStyle w:val="BodyText"/>
        <w:spacing w:before="1"/>
      </w:pPr>
      <w:r>
        <w:t>Offences by candidate</w:t>
      </w:r>
    </w:p>
    <w:p w14:paraId="35D589A9" w14:textId="77777777" w:rsidR="002504AE" w:rsidRDefault="002504AE" w:rsidP="002504AE">
      <w:pPr>
        <w:pStyle w:val="BodyText"/>
        <w:spacing w:before="1"/>
      </w:pPr>
      <w:r>
        <w:t>92 (1) A candidate is guilty of an offence and, on conviction, in addition to any other penalty that may be imposed under this Act, is subject to the penalties described in subsection 88.23 (2),</w:t>
      </w:r>
    </w:p>
    <w:p w14:paraId="5C0EDA1B" w14:textId="77777777" w:rsidR="002504AE" w:rsidRDefault="002504AE" w:rsidP="002504AE">
      <w:pPr>
        <w:pStyle w:val="BodyText"/>
        <w:spacing w:before="1"/>
      </w:pPr>
    </w:p>
    <w:p w14:paraId="40D2231D" w14:textId="77777777" w:rsidR="002504AE" w:rsidRDefault="002504AE" w:rsidP="002504AE">
      <w:pPr>
        <w:pStyle w:val="BodyText"/>
        <w:spacing w:before="1"/>
      </w:pPr>
      <w:r>
        <w:t>(a) if the candidate incurs expenses that exceed the amount determined for the office under section 88.20; or</w:t>
      </w:r>
    </w:p>
    <w:p w14:paraId="5899D930" w14:textId="77777777" w:rsidR="002504AE" w:rsidRDefault="002504AE" w:rsidP="002504AE">
      <w:pPr>
        <w:pStyle w:val="BodyText"/>
        <w:spacing w:before="1"/>
      </w:pPr>
    </w:p>
    <w:p w14:paraId="796EC6CD" w14:textId="7B2F50DD" w:rsidR="002504AE" w:rsidRDefault="002504AE" w:rsidP="002504AE">
      <w:pPr>
        <w:pStyle w:val="BodyText"/>
        <w:spacing w:before="1"/>
      </w:pPr>
      <w:r>
        <w:t>(b) if the candidate files a document under section 88.25 or 88.32 that is incorrect or otherwise does not comply with that section. 2016, c. 15, s. 68 (1).</w:t>
      </w:r>
    </w:p>
    <w:p w14:paraId="65A0CC24" w14:textId="77777777" w:rsidR="002504AE" w:rsidRDefault="002504AE" w:rsidP="002504AE">
      <w:pPr>
        <w:pStyle w:val="BodyText"/>
        <w:spacing w:before="1"/>
        <w:rPr>
          <w:lang w:val="en-CA"/>
        </w:rPr>
      </w:pPr>
    </w:p>
    <w:p w14:paraId="51B1CC8D" w14:textId="6A94B2EB" w:rsidR="002504AE" w:rsidRPr="002504AE" w:rsidRDefault="002504AE" w:rsidP="002504AE">
      <w:pPr>
        <w:pStyle w:val="BodyText"/>
        <w:spacing w:before="1"/>
        <w:rPr>
          <w:lang w:val="en-CA"/>
        </w:rPr>
      </w:pPr>
      <w:r w:rsidRPr="002504AE">
        <w:rPr>
          <w:lang w:val="en-CA"/>
        </w:rPr>
        <w:t>Exception, action in good faith</w:t>
      </w:r>
    </w:p>
    <w:p w14:paraId="2D011065" w14:textId="77777777" w:rsidR="002504AE" w:rsidRPr="002504AE" w:rsidRDefault="002504AE" w:rsidP="002504AE">
      <w:pPr>
        <w:pStyle w:val="BodyText"/>
        <w:spacing w:before="1"/>
        <w:rPr>
          <w:lang w:val="en-CA"/>
        </w:rPr>
      </w:pPr>
      <w:r w:rsidRPr="002504AE">
        <w:rPr>
          <w:lang w:val="en-CA"/>
        </w:rPr>
        <w:t>(2) However, if the presiding judge finds that the candidate, acting in good faith, committed the offence inadvertently or because of an error in judgment, the penalties described in subsection 88.23 (2) do not apply. 2016, c. 15, s. 68 (1).</w:t>
      </w:r>
    </w:p>
    <w:p w14:paraId="1CDEBDFF" w14:textId="77777777" w:rsidR="002504AE" w:rsidRPr="002504AE" w:rsidRDefault="002504AE" w:rsidP="002504AE">
      <w:pPr>
        <w:pStyle w:val="BodyText"/>
        <w:spacing w:before="1"/>
        <w:rPr>
          <w:lang w:val="en-CA"/>
        </w:rPr>
      </w:pPr>
    </w:p>
    <w:p w14:paraId="282BA82B" w14:textId="77777777" w:rsidR="002504AE" w:rsidRPr="002504AE" w:rsidRDefault="002504AE" w:rsidP="002504AE">
      <w:pPr>
        <w:pStyle w:val="BodyText"/>
        <w:spacing w:before="1"/>
        <w:rPr>
          <w:lang w:val="en-CA"/>
        </w:rPr>
      </w:pPr>
      <w:r w:rsidRPr="002504AE">
        <w:rPr>
          <w:lang w:val="en-CA"/>
        </w:rPr>
        <w:t>Additional penalty, candidates</w:t>
      </w:r>
    </w:p>
    <w:p w14:paraId="613E1EAD" w14:textId="246EE197" w:rsidR="002504AE" w:rsidRPr="002504AE" w:rsidRDefault="002504AE" w:rsidP="002504AE">
      <w:pPr>
        <w:pStyle w:val="BodyText"/>
        <w:spacing w:before="1"/>
        <w:rPr>
          <w:lang w:val="en-CA"/>
        </w:rPr>
      </w:pPr>
      <w:r w:rsidRPr="002504AE">
        <w:rPr>
          <w:lang w:val="en-CA"/>
        </w:rPr>
        <w:t>(3) If the expenses incurred by or under the direction of a candidate exceed the amount determined for the office under section 88.20, the candidate is liable to a fine equal to the excess, in addition to any other penalty provided for in the Act. 2016,</w:t>
      </w:r>
      <w:r>
        <w:rPr>
          <w:lang w:val="en-CA"/>
        </w:rPr>
        <w:t xml:space="preserve"> </w:t>
      </w:r>
      <w:r w:rsidRPr="002504AE">
        <w:rPr>
          <w:lang w:val="en-CA"/>
        </w:rPr>
        <w:t>c. 15, s. 68 (1).</w:t>
      </w:r>
    </w:p>
    <w:p w14:paraId="000A5FAF" w14:textId="77777777" w:rsidR="00E24855" w:rsidRDefault="00E24855" w:rsidP="002504AE">
      <w:pPr>
        <w:jc w:val="right"/>
      </w:pPr>
    </w:p>
    <w:p w14:paraId="41044859" w14:textId="77777777" w:rsidR="00E24855" w:rsidRDefault="002504AE" w:rsidP="002504AE">
      <w:pPr>
        <w:pStyle w:val="Heading1"/>
        <w:ind w:right="213"/>
      </w:pPr>
      <w:r>
        <w:t>Please refer to the Ministry’s Candidates Guide for additional information on financial reporting.  It is your obligation to ensure you are compliant with the Act.</w:t>
      </w:r>
    </w:p>
    <w:p w14:paraId="5C584703" w14:textId="77777777" w:rsidR="00E24855" w:rsidRDefault="00E24855">
      <w:pPr>
        <w:pStyle w:val="BodyText"/>
        <w:spacing w:before="3"/>
        <w:rPr>
          <w:sz w:val="28"/>
        </w:rPr>
      </w:pPr>
    </w:p>
    <w:p w14:paraId="71C99606" w14:textId="77777777" w:rsidR="00E24855" w:rsidRDefault="00E24855">
      <w:pPr>
        <w:pStyle w:val="BodyText"/>
      </w:pPr>
    </w:p>
    <w:p w14:paraId="5D8D571E" w14:textId="77777777" w:rsidR="00E24855" w:rsidRDefault="00E24855">
      <w:pPr>
        <w:pStyle w:val="BodyText"/>
      </w:pPr>
    </w:p>
    <w:p w14:paraId="12540C51" w14:textId="77777777" w:rsidR="00E24855" w:rsidRDefault="00E24855">
      <w:pPr>
        <w:pStyle w:val="BodyText"/>
      </w:pPr>
    </w:p>
    <w:p w14:paraId="3D6940EA" w14:textId="6AF47667" w:rsidR="00E24855" w:rsidRPr="002504AE" w:rsidRDefault="00B77BA1">
      <w:pPr>
        <w:pStyle w:val="BodyText"/>
        <w:spacing w:before="6"/>
        <w:rPr>
          <w:sz w:val="22"/>
        </w:rPr>
      </w:pPr>
      <w:r>
        <w:rPr>
          <w:noProof/>
        </w:rPr>
        <mc:AlternateContent>
          <mc:Choice Requires="wps">
            <w:drawing>
              <wp:anchor distT="0" distB="0" distL="0" distR="0" simplePos="0" relativeHeight="1192" behindDoc="0" locked="0" layoutInCell="1" allowOverlap="1" wp14:anchorId="2139F3FA" wp14:editId="029360C7">
                <wp:simplePos x="0" y="0"/>
                <wp:positionH relativeFrom="page">
                  <wp:posOffset>838200</wp:posOffset>
                </wp:positionH>
                <wp:positionV relativeFrom="paragraph">
                  <wp:posOffset>194945</wp:posOffset>
                </wp:positionV>
                <wp:extent cx="2286000" cy="0"/>
                <wp:effectExtent l="9525" t="13970" r="952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6B44"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5.35pt" to="24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" strokeweight=".6pt">
                <w10:wrap type="topAndBottom" anchorx="page"/>
              </v:line>
            </w:pict>
          </mc:Fallback>
        </mc:AlternateContent>
      </w:r>
    </w:p>
    <w:p w14:paraId="09EC2169" w14:textId="5B8A80C0" w:rsidR="00E24855" w:rsidRPr="002504AE" w:rsidRDefault="00B77BA1">
      <w:pPr>
        <w:pStyle w:val="BodyText"/>
        <w:spacing w:before="48" w:line="241" w:lineRule="exact"/>
        <w:ind w:left="120"/>
        <w:rPr>
          <w:sz w:val="22"/>
        </w:rPr>
      </w:pPr>
      <w:r>
        <w:rPr>
          <w:sz w:val="22"/>
        </w:rPr>
        <w:t>Carmen Miller</w:t>
      </w:r>
    </w:p>
    <w:p w14:paraId="42CA68CD" w14:textId="77777777" w:rsidR="00E24855" w:rsidRPr="002504AE" w:rsidRDefault="002504AE">
      <w:pPr>
        <w:pStyle w:val="BodyText"/>
        <w:spacing w:line="241" w:lineRule="exact"/>
        <w:ind w:left="120"/>
        <w:rPr>
          <w:sz w:val="22"/>
        </w:rPr>
      </w:pPr>
      <w:r w:rsidRPr="002504AE">
        <w:rPr>
          <w:sz w:val="22"/>
        </w:rPr>
        <w:t>Returning Officer</w:t>
      </w:r>
    </w:p>
    <w:sectPr w:rsidR="00E24855" w:rsidRPr="002504AE" w:rsidSect="002504AE">
      <w:pgSz w:w="12240" w:h="15840"/>
      <w:pgMar w:top="568" w:right="12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965"/>
    <w:multiLevelType w:val="hybridMultilevel"/>
    <w:tmpl w:val="5B5ADF36"/>
    <w:lvl w:ilvl="0" w:tplc="BBB471A2">
      <w:start w:val="2"/>
      <w:numFmt w:val="decimal"/>
      <w:lvlText w:val="(%1)"/>
      <w:lvlJc w:val="left"/>
      <w:pPr>
        <w:ind w:left="4393" w:hanging="507"/>
      </w:pPr>
      <w:rPr>
        <w:rFonts w:ascii="Verdana" w:eastAsia="Verdana" w:hAnsi="Verdana" w:cs="Verdana" w:hint="default"/>
        <w:spacing w:val="-3"/>
        <w:w w:val="98"/>
        <w:sz w:val="20"/>
        <w:szCs w:val="20"/>
      </w:rPr>
    </w:lvl>
    <w:lvl w:ilvl="1" w:tplc="CA360608">
      <w:start w:val="1"/>
      <w:numFmt w:val="lowerLetter"/>
      <w:lvlText w:val="(%2)"/>
      <w:lvlJc w:val="left"/>
      <w:pPr>
        <w:ind w:left="4668" w:hanging="401"/>
      </w:pPr>
      <w:rPr>
        <w:rFonts w:ascii="Verdana" w:eastAsia="Verdana" w:hAnsi="Verdana" w:cs="Verdana" w:hint="default"/>
        <w:w w:val="99"/>
        <w:sz w:val="20"/>
        <w:szCs w:val="20"/>
      </w:rPr>
    </w:lvl>
    <w:lvl w:ilvl="2" w:tplc="E28A8D7E">
      <w:numFmt w:val="bullet"/>
      <w:lvlText w:val="•"/>
      <w:lvlJc w:val="left"/>
      <w:pPr>
        <w:ind w:left="5632" w:hanging="401"/>
      </w:pPr>
      <w:rPr>
        <w:rFonts w:hint="default"/>
      </w:rPr>
    </w:lvl>
    <w:lvl w:ilvl="3" w:tplc="91806B92">
      <w:numFmt w:val="bullet"/>
      <w:lvlText w:val="•"/>
      <w:lvlJc w:val="left"/>
      <w:pPr>
        <w:ind w:left="6588" w:hanging="401"/>
      </w:pPr>
      <w:rPr>
        <w:rFonts w:hint="default"/>
      </w:rPr>
    </w:lvl>
    <w:lvl w:ilvl="4" w:tplc="3B9E94B0">
      <w:numFmt w:val="bullet"/>
      <w:lvlText w:val="•"/>
      <w:lvlJc w:val="left"/>
      <w:pPr>
        <w:ind w:left="7543" w:hanging="401"/>
      </w:pPr>
      <w:rPr>
        <w:rFonts w:hint="default"/>
      </w:rPr>
    </w:lvl>
    <w:lvl w:ilvl="5" w:tplc="C16A7172">
      <w:numFmt w:val="bullet"/>
      <w:lvlText w:val="•"/>
      <w:lvlJc w:val="left"/>
      <w:pPr>
        <w:ind w:left="8499" w:hanging="401"/>
      </w:pPr>
      <w:rPr>
        <w:rFonts w:hint="default"/>
      </w:rPr>
    </w:lvl>
    <w:lvl w:ilvl="6" w:tplc="B07C105C">
      <w:numFmt w:val="bullet"/>
      <w:lvlText w:val="•"/>
      <w:lvlJc w:val="left"/>
      <w:pPr>
        <w:ind w:left="9454" w:hanging="401"/>
      </w:pPr>
      <w:rPr>
        <w:rFonts w:hint="default"/>
      </w:rPr>
    </w:lvl>
    <w:lvl w:ilvl="7" w:tplc="1B5E6FB2">
      <w:numFmt w:val="bullet"/>
      <w:lvlText w:val="•"/>
      <w:lvlJc w:val="left"/>
      <w:pPr>
        <w:ind w:left="10410" w:hanging="401"/>
      </w:pPr>
      <w:rPr>
        <w:rFonts w:hint="default"/>
      </w:rPr>
    </w:lvl>
    <w:lvl w:ilvl="8" w:tplc="5C2C7A90">
      <w:numFmt w:val="bullet"/>
      <w:lvlText w:val="•"/>
      <w:lvlJc w:val="left"/>
      <w:pPr>
        <w:ind w:left="11365" w:hanging="401"/>
      </w:pPr>
      <w:rPr>
        <w:rFonts w:hint="default"/>
      </w:rPr>
    </w:lvl>
  </w:abstractNum>
  <w:abstractNum w:abstractNumId="1" w15:restartNumberingAfterBreak="0">
    <w:nsid w:val="217D73DF"/>
    <w:multiLevelType w:val="hybridMultilevel"/>
    <w:tmpl w:val="24786F52"/>
    <w:lvl w:ilvl="0" w:tplc="F95E5290">
      <w:start w:val="1"/>
      <w:numFmt w:val="lowerLetter"/>
      <w:lvlText w:val="(%1)"/>
      <w:lvlJc w:val="left"/>
      <w:pPr>
        <w:ind w:left="1231" w:hanging="372"/>
      </w:pPr>
      <w:rPr>
        <w:rFonts w:ascii="Verdana" w:eastAsia="Verdana" w:hAnsi="Verdana" w:cs="Verdana" w:hint="default"/>
        <w:w w:val="99"/>
        <w:sz w:val="20"/>
        <w:szCs w:val="20"/>
      </w:rPr>
    </w:lvl>
    <w:lvl w:ilvl="1" w:tplc="C980AF1A">
      <w:numFmt w:val="bullet"/>
      <w:lvlText w:val="•"/>
      <w:lvlJc w:val="left"/>
      <w:pPr>
        <w:ind w:left="2092" w:hanging="372"/>
      </w:pPr>
      <w:rPr>
        <w:rFonts w:hint="default"/>
      </w:rPr>
    </w:lvl>
    <w:lvl w:ilvl="2" w:tplc="1ACEC800">
      <w:numFmt w:val="bullet"/>
      <w:lvlText w:val="•"/>
      <w:lvlJc w:val="left"/>
      <w:pPr>
        <w:ind w:left="2944" w:hanging="372"/>
      </w:pPr>
      <w:rPr>
        <w:rFonts w:hint="default"/>
      </w:rPr>
    </w:lvl>
    <w:lvl w:ilvl="3" w:tplc="40743340">
      <w:numFmt w:val="bullet"/>
      <w:lvlText w:val="•"/>
      <w:lvlJc w:val="left"/>
      <w:pPr>
        <w:ind w:left="3796" w:hanging="372"/>
      </w:pPr>
      <w:rPr>
        <w:rFonts w:hint="default"/>
      </w:rPr>
    </w:lvl>
    <w:lvl w:ilvl="4" w:tplc="A1DE6134">
      <w:numFmt w:val="bullet"/>
      <w:lvlText w:val="•"/>
      <w:lvlJc w:val="left"/>
      <w:pPr>
        <w:ind w:left="4648" w:hanging="372"/>
      </w:pPr>
      <w:rPr>
        <w:rFonts w:hint="default"/>
      </w:rPr>
    </w:lvl>
    <w:lvl w:ilvl="5" w:tplc="7102F7CE">
      <w:numFmt w:val="bullet"/>
      <w:lvlText w:val="•"/>
      <w:lvlJc w:val="left"/>
      <w:pPr>
        <w:ind w:left="5500" w:hanging="372"/>
      </w:pPr>
      <w:rPr>
        <w:rFonts w:hint="default"/>
      </w:rPr>
    </w:lvl>
    <w:lvl w:ilvl="6" w:tplc="1E86665A">
      <w:numFmt w:val="bullet"/>
      <w:lvlText w:val="•"/>
      <w:lvlJc w:val="left"/>
      <w:pPr>
        <w:ind w:left="6352" w:hanging="372"/>
      </w:pPr>
      <w:rPr>
        <w:rFonts w:hint="default"/>
      </w:rPr>
    </w:lvl>
    <w:lvl w:ilvl="7" w:tplc="03A07DAA">
      <w:numFmt w:val="bullet"/>
      <w:lvlText w:val="•"/>
      <w:lvlJc w:val="left"/>
      <w:pPr>
        <w:ind w:left="7204" w:hanging="372"/>
      </w:pPr>
      <w:rPr>
        <w:rFonts w:hint="default"/>
      </w:rPr>
    </w:lvl>
    <w:lvl w:ilvl="8" w:tplc="46D6D02A">
      <w:numFmt w:val="bullet"/>
      <w:lvlText w:val="•"/>
      <w:lvlJc w:val="left"/>
      <w:pPr>
        <w:ind w:left="8056" w:hanging="372"/>
      </w:pPr>
      <w:rPr>
        <w:rFonts w:hint="default"/>
      </w:rPr>
    </w:lvl>
  </w:abstractNum>
  <w:abstractNum w:abstractNumId="2" w15:restartNumberingAfterBreak="0">
    <w:nsid w:val="4BEC748D"/>
    <w:multiLevelType w:val="hybridMultilevel"/>
    <w:tmpl w:val="3AF2D126"/>
    <w:lvl w:ilvl="0" w:tplc="52AAAFA8">
      <w:start w:val="2"/>
      <w:numFmt w:val="decimal"/>
      <w:lvlText w:val="(%1)"/>
      <w:lvlJc w:val="left"/>
      <w:pPr>
        <w:ind w:left="840" w:hanging="449"/>
      </w:pPr>
      <w:rPr>
        <w:rFonts w:ascii="Verdana" w:eastAsia="Verdana" w:hAnsi="Verdana" w:cs="Verdana" w:hint="default"/>
        <w:w w:val="99"/>
        <w:sz w:val="20"/>
        <w:szCs w:val="20"/>
      </w:rPr>
    </w:lvl>
    <w:lvl w:ilvl="1" w:tplc="3D8EE43C">
      <w:start w:val="1"/>
      <w:numFmt w:val="lowerLetter"/>
      <w:lvlText w:val="(%2)"/>
      <w:lvlJc w:val="left"/>
      <w:pPr>
        <w:ind w:left="1231" w:hanging="373"/>
      </w:pPr>
      <w:rPr>
        <w:rFonts w:ascii="Verdana" w:eastAsia="Verdana" w:hAnsi="Verdana" w:cs="Verdana" w:hint="default"/>
        <w:w w:val="99"/>
        <w:sz w:val="20"/>
        <w:szCs w:val="20"/>
      </w:rPr>
    </w:lvl>
    <w:lvl w:ilvl="2" w:tplc="924CE58E">
      <w:numFmt w:val="bullet"/>
      <w:lvlText w:val="•"/>
      <w:lvlJc w:val="left"/>
      <w:pPr>
        <w:ind w:left="2186" w:hanging="373"/>
      </w:pPr>
      <w:rPr>
        <w:rFonts w:hint="default"/>
      </w:rPr>
    </w:lvl>
    <w:lvl w:ilvl="3" w:tplc="21BA52D6">
      <w:numFmt w:val="bullet"/>
      <w:lvlText w:val="•"/>
      <w:lvlJc w:val="left"/>
      <w:pPr>
        <w:ind w:left="3133" w:hanging="373"/>
      </w:pPr>
      <w:rPr>
        <w:rFonts w:hint="default"/>
      </w:rPr>
    </w:lvl>
    <w:lvl w:ilvl="4" w:tplc="5FA01428">
      <w:numFmt w:val="bullet"/>
      <w:lvlText w:val="•"/>
      <w:lvlJc w:val="left"/>
      <w:pPr>
        <w:ind w:left="4080" w:hanging="373"/>
      </w:pPr>
      <w:rPr>
        <w:rFonts w:hint="default"/>
      </w:rPr>
    </w:lvl>
    <w:lvl w:ilvl="5" w:tplc="C9067802">
      <w:numFmt w:val="bullet"/>
      <w:lvlText w:val="•"/>
      <w:lvlJc w:val="left"/>
      <w:pPr>
        <w:ind w:left="5026" w:hanging="373"/>
      </w:pPr>
      <w:rPr>
        <w:rFonts w:hint="default"/>
      </w:rPr>
    </w:lvl>
    <w:lvl w:ilvl="6" w:tplc="44A4C294">
      <w:numFmt w:val="bullet"/>
      <w:lvlText w:val="•"/>
      <w:lvlJc w:val="left"/>
      <w:pPr>
        <w:ind w:left="5973" w:hanging="373"/>
      </w:pPr>
      <w:rPr>
        <w:rFonts w:hint="default"/>
      </w:rPr>
    </w:lvl>
    <w:lvl w:ilvl="7" w:tplc="5D4A3806">
      <w:numFmt w:val="bullet"/>
      <w:lvlText w:val="•"/>
      <w:lvlJc w:val="left"/>
      <w:pPr>
        <w:ind w:left="6920" w:hanging="373"/>
      </w:pPr>
      <w:rPr>
        <w:rFonts w:hint="default"/>
      </w:rPr>
    </w:lvl>
    <w:lvl w:ilvl="8" w:tplc="ACEEB6D8">
      <w:numFmt w:val="bullet"/>
      <w:lvlText w:val="•"/>
      <w:lvlJc w:val="left"/>
      <w:pPr>
        <w:ind w:left="7866" w:hanging="373"/>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55"/>
    <w:rsid w:val="002504AE"/>
    <w:rsid w:val="009C227A"/>
    <w:rsid w:val="00B77BA1"/>
    <w:rsid w:val="00E248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8323"/>
  <w15:docId w15:val="{82C6AE65-0119-47F4-BEEC-CF4DD136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style>
  <w:style w:type="paragraph" w:styleId="Heading2">
    <w:name w:val="heading 2"/>
    <w:basedOn w:val="Normal"/>
    <w:uiPriority w:val="9"/>
    <w:unhideWhenUsed/>
    <w:qFormat/>
    <w:pPr>
      <w:outlineLvl w:val="1"/>
    </w:pPr>
    <w:rPr>
      <w:b/>
      <w:bCs/>
      <w:sz w:val="20"/>
      <w:szCs w:val="20"/>
    </w:rPr>
  </w:style>
  <w:style w:type="paragraph" w:styleId="Heading4">
    <w:name w:val="heading 4"/>
    <w:basedOn w:val="Normal"/>
    <w:next w:val="Normal"/>
    <w:link w:val="Heading4Char"/>
    <w:uiPriority w:val="9"/>
    <w:semiHidden/>
    <w:unhideWhenUsed/>
    <w:qFormat/>
    <w:rsid w:val="002504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31" w:hanging="40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2504A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5314">
      <w:bodyDiv w:val="1"/>
      <w:marLeft w:val="0"/>
      <w:marRight w:val="0"/>
      <w:marTop w:val="0"/>
      <w:marBottom w:val="0"/>
      <w:divBdr>
        <w:top w:val="none" w:sz="0" w:space="0" w:color="auto"/>
        <w:left w:val="none" w:sz="0" w:space="0" w:color="auto"/>
        <w:bottom w:val="none" w:sz="0" w:space="0" w:color="auto"/>
        <w:right w:val="none" w:sz="0" w:space="0" w:color="auto"/>
      </w:divBdr>
    </w:div>
    <w:div w:id="918636378">
      <w:bodyDiv w:val="1"/>
      <w:marLeft w:val="0"/>
      <w:marRight w:val="0"/>
      <w:marTop w:val="0"/>
      <w:marBottom w:val="0"/>
      <w:divBdr>
        <w:top w:val="none" w:sz="0" w:space="0" w:color="auto"/>
        <w:left w:val="none" w:sz="0" w:space="0" w:color="auto"/>
        <w:bottom w:val="none" w:sz="0" w:space="0" w:color="auto"/>
        <w:right w:val="none" w:sz="0" w:space="0" w:color="auto"/>
      </w:divBdr>
    </w:div>
    <w:div w:id="1171675227">
      <w:bodyDiv w:val="1"/>
      <w:marLeft w:val="0"/>
      <w:marRight w:val="0"/>
      <w:marTop w:val="0"/>
      <w:marBottom w:val="0"/>
      <w:divBdr>
        <w:top w:val="none" w:sz="0" w:space="0" w:color="auto"/>
        <w:left w:val="none" w:sz="0" w:space="0" w:color="auto"/>
        <w:bottom w:val="none" w:sz="0" w:space="0" w:color="auto"/>
        <w:right w:val="none" w:sz="0" w:space="0" w:color="auto"/>
      </w:divBdr>
    </w:div>
    <w:div w:id="187060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Kirkham</dc:creator>
  <cp:lastModifiedBy>Carmen Miller</cp:lastModifiedBy>
  <cp:revision>3</cp:revision>
  <dcterms:created xsi:type="dcterms:W3CDTF">2022-04-04T18:29:00Z</dcterms:created>
  <dcterms:modified xsi:type="dcterms:W3CDTF">2022-04-08T17:45:00Z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2014-12-17T00:00:00Z</vt:filetime>
  </property>
  <property fmtid="{D5CDD505-2E9C-101B-9397-08002B2CF9AE}" pid="3" name="Creator">
    <vt:lpwstr>Acrobat PDFMaker 11 for Word</vt:lpwstr>
  </property>
  <property fmtid="{D5CDD505-2E9C-101B-9397-08002B2CF9AE}" pid="4" name="LastSaved">
    <vt:filetime>2018-10-02T00:00:00Z</vt:filetime>
  </property>
</Properties>
</file>